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spacing w:after="240" w:before="240" w:lineRule="auto"/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On ne peut plus se lancer dans le webmarketing à l'heure actuelle, sans parler de RGPD.</w:t>
      </w:r>
    </w:p>
    <w:p w:rsidR="00000000" w:rsidDel="00000000" w:rsidP="00000000" w:rsidRDefault="00000000" w:rsidRPr="00000000" w14:paraId="00000002">
      <w:pPr>
        <w:spacing w:after="240" w:before="240" w:lineRule="auto"/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C'est LA réglementation qui vient encadrer ce qu'on peut faire ou doit faire pour les données personnelles.</w:t>
      </w:r>
    </w:p>
    <w:p w:rsidR="00000000" w:rsidDel="00000000" w:rsidP="00000000" w:rsidRDefault="00000000" w:rsidRPr="00000000" w14:paraId="00000003">
      <w:pPr>
        <w:spacing w:after="240" w:before="240" w:lineRule="auto"/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Donc forcément, c'est en lien direct lorsqu'on parle de statistiques et suivi d'audience.</w:t>
      </w:r>
    </w:p>
    <w:p w:rsidR="00000000" w:rsidDel="00000000" w:rsidP="00000000" w:rsidRDefault="00000000" w:rsidRPr="00000000" w14:paraId="00000004">
      <w:pPr>
        <w:spacing w:after="240" w:before="240" w:lineRule="auto"/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Alors voici une vidéo pour tout comprendre au RGPD expliqué par une avocate en moins de 10 minutes :</w:t>
      </w:r>
    </w:p>
    <w:p w:rsidR="00000000" w:rsidDel="00000000" w:rsidP="00000000" w:rsidRDefault="00000000" w:rsidRPr="00000000" w14:paraId="00000005">
      <w:pPr>
        <w:spacing w:after="240" w:before="240" w:lineRule="auto"/>
        <w:rPr>
          <w:rFonts w:ascii="Poppins" w:cs="Poppins" w:eastAsia="Poppins" w:hAnsi="Poppins"/>
          <w:color w:val="1155cc"/>
          <w:u w:val="single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Pour voir la vidéo :</w:t>
      </w:r>
      <w:hyperlink r:id="rId6">
        <w:r w:rsidDel="00000000" w:rsidR="00000000" w:rsidRPr="00000000">
          <w:rPr>
            <w:rFonts w:ascii="Poppins" w:cs="Poppins" w:eastAsia="Poppins" w:hAnsi="Poppins"/>
            <w:color w:val="1155cc"/>
            <w:u w:val="single"/>
            <w:rtl w:val="0"/>
          </w:rPr>
          <w:t xml:space="preserve"> https://youtu.be/sO46w9h2PFg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240" w:before="240" w:lineRule="auto"/>
        <w:rPr>
          <w:rFonts w:ascii="Poppins" w:cs="Poppins" w:eastAsia="Poppins" w:hAnsi="Poppins"/>
          <w:color w:val="1155cc"/>
          <w:u w:val="single"/>
        </w:rPr>
      </w:pPr>
      <w:r w:rsidDel="00000000" w:rsidR="00000000" w:rsidRPr="00000000">
        <w:rPr>
          <w:rFonts w:ascii="Poppins" w:cs="Poppins" w:eastAsia="Poppins" w:hAnsi="Poppins"/>
          <w:color w:val="1155cc"/>
          <w:u w:val="single"/>
        </w:rPr>
        <w:drawing>
          <wp:inline distB="114300" distT="114300" distL="114300" distR="114300">
            <wp:extent cx="5731200" cy="32258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Poppins" w:cs="Poppins" w:eastAsia="Poppins" w:hAnsi="Poppins"/>
          <w:b w:val="1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rebuchet MS"/>
  <w:font w:name="Poppi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Droid San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Droid Sans" w:cs="Droid Sans" w:eastAsia="Droid Sans" w:hAnsi="Droid Sans"/>
        <w:sz w:val="22"/>
        <w:szCs w:val="22"/>
        <w:lang w:val="f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before="200" w:lineRule="auto"/>
    </w:pPr>
    <w:rPr>
      <w:color w:val="999999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before="20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before="160" w:lineRule="auto"/>
    </w:pPr>
    <w:rPr>
      <w:b w:val="1"/>
      <w:color w:val="666666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</w:pPr>
    <w:rPr>
      <w:sz w:val="42"/>
      <w:szCs w:val="4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200" w:before="0" w:lineRule="auto"/>
    </w:pPr>
    <w:rPr>
      <w:rFonts w:ascii="Trebuchet MS" w:cs="Trebuchet MS" w:eastAsia="Trebuchet MS" w:hAnsi="Trebuchet MS"/>
      <w:i w:val="1"/>
      <w:color w:val="666666"/>
      <w:sz w:val="26"/>
      <w:szCs w:val="26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https://youtu.be/sO46w9h2PFg" TargetMode="External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oppins-regular.ttf"/><Relationship Id="rId2" Type="http://schemas.openxmlformats.org/officeDocument/2006/relationships/font" Target="fonts/Poppins-bold.ttf"/><Relationship Id="rId3" Type="http://schemas.openxmlformats.org/officeDocument/2006/relationships/font" Target="fonts/Poppins-italic.ttf"/><Relationship Id="rId4" Type="http://schemas.openxmlformats.org/officeDocument/2006/relationships/font" Target="fonts/Poppi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